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577BB41" w:rsidR="00093CA9" w:rsidRDefault="00F54109"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B82437A" w:rsidR="00093CA9" w:rsidRDefault="00A41A4D" w:rsidP="00093CA9">
            <w:r w:rsidRPr="00A41A4D">
              <w:t>UAE Securities and Commodities Authority Decision 3/ Chairman of 2020 concerning Approval of Joint Stock Companies Governance Guide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AD168FD" w:rsidR="00093CA9" w:rsidRDefault="0050778F" w:rsidP="00093CA9">
            <w:hyperlink r:id="rId17" w:history="1">
              <w:r w:rsidRPr="0050778F">
                <w:rPr>
                  <w:rStyle w:val="Hyperlink"/>
                </w:rPr>
                <w:t>Chairman of Authority’s Board of Directors’ Decision no. (3_Chairman) of 2020 concerning Approval of Joint Stock Companies Governance Guide (2).pdf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82C5DD3" w:rsidR="00093CA9" w:rsidRDefault="00A41A4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9183C6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A728C75" w:rsidR="00093CA9" w:rsidRDefault="0050778F" w:rsidP="00093CA9">
            <w:r>
              <w:t xml:space="preserve">This policy tool provides the framework necessary for regulating joint stock companies listed in the UAE. It sets out detailed rules and principles regarding the composition and responsibilities of boards, disclosure obligations, internal controls, risk management and stakeholder engagement.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EB58D06" w:rsidR="00093CA9" w:rsidRDefault="0050778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01EFAEF" w:rsidR="00093CA9" w:rsidRPr="00173D7C" w:rsidRDefault="00561215" w:rsidP="00093CA9">
            <w:pPr>
              <w:rPr>
                <w:color w:val="000000" w:themeColor="text1"/>
              </w:rPr>
            </w:pPr>
            <w:r>
              <w:rPr>
                <w:color w:val="000000" w:themeColor="text1"/>
              </w:rPr>
              <w:t>2 February 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5FDEDA3" w:rsidR="00093CA9" w:rsidRDefault="00561215" w:rsidP="00093CA9">
            <w:r>
              <w:t>The Securities and Commodities Authority of the UAE (</w:t>
            </w:r>
            <w:r w:rsidRPr="00561215">
              <w:rPr>
                <w:b/>
                <w:bCs/>
              </w:rPr>
              <w:t>SCA</w:t>
            </w:r>
            <w:r>
              <w:t>) which is a government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D7F14C" w:rsidR="00093CA9" w:rsidRPr="006B7B0D" w:rsidRDefault="0056121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15602C7" w:rsidR="00093CA9" w:rsidRDefault="0056121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018BDE9" w14:textId="73494247" w:rsidR="00561215" w:rsidRPr="00561215" w:rsidRDefault="00561215" w:rsidP="00561215">
            <w:pPr>
              <w:keepNext/>
              <w:rPr>
                <w:color w:val="000000" w:themeColor="text1"/>
              </w:rPr>
            </w:pPr>
            <w:r w:rsidRPr="00561215">
              <w:rPr>
                <w:b/>
                <w:bCs/>
                <w:color w:val="000000" w:themeColor="text1"/>
              </w:rPr>
              <w:t>Annual Governance Report (Article 77):</w:t>
            </w:r>
            <w:r w:rsidRPr="00561215">
              <w:rPr>
                <w:color w:val="000000" w:themeColor="text1"/>
              </w:rPr>
              <w:br/>
              <w:t xml:space="preserve">Each company must prepare and submit a signed annual governance report, using the format specified by the SCA. This report, which includes detailed information on board composition, committee activities, risk management and remuneration, must be made available to shareholders before the Annual General Meeting and submitted to the Authority for approval. </w:t>
            </w:r>
          </w:p>
          <w:p w14:paraId="703A5880" w14:textId="5C809F91" w:rsidR="00561215" w:rsidRPr="00561215" w:rsidRDefault="00561215" w:rsidP="00561215">
            <w:pPr>
              <w:keepNext/>
              <w:rPr>
                <w:color w:val="000000" w:themeColor="text1"/>
              </w:rPr>
            </w:pPr>
            <w:r w:rsidRPr="00561215">
              <w:rPr>
                <w:b/>
                <w:bCs/>
                <w:color w:val="000000" w:themeColor="text1"/>
              </w:rPr>
              <w:t>Internal Audit Reporting (Article 56):</w:t>
            </w:r>
            <w:r w:rsidRPr="00561215">
              <w:rPr>
                <w:color w:val="000000" w:themeColor="text1"/>
              </w:rPr>
              <w:br/>
              <w:t xml:space="preserve">The Internal Auditing Department is required to provide quarterly reports to the Audit Committee and an annual report to the Board, evaluating the effectiveness of internal controls, risk management and compliance, and detailing actions taken in response to previous audit findings. </w:t>
            </w:r>
          </w:p>
          <w:p w14:paraId="096223EF" w14:textId="48460459" w:rsidR="00561215" w:rsidRPr="00561215" w:rsidRDefault="00561215" w:rsidP="00561215">
            <w:pPr>
              <w:keepNext/>
              <w:rPr>
                <w:color w:val="000000" w:themeColor="text1"/>
              </w:rPr>
            </w:pPr>
            <w:r w:rsidRPr="00561215">
              <w:rPr>
                <w:b/>
                <w:bCs/>
                <w:color w:val="000000" w:themeColor="text1"/>
              </w:rPr>
              <w:t>Governance Committee Oversight (Article 63/Bis):</w:t>
            </w:r>
            <w:r w:rsidRPr="00561215">
              <w:rPr>
                <w:color w:val="000000" w:themeColor="text1"/>
              </w:rPr>
              <w:br/>
              <w:t xml:space="preserve">A permanent Governance Committee may be established by the Board to oversee the company’s compliance with the SCA governance guide, review and update governance rules, and provide annual reports and recommendations to the Board. </w:t>
            </w:r>
          </w:p>
          <w:p w14:paraId="2C2128DB" w14:textId="16F06965" w:rsidR="00093CA9" w:rsidRPr="008017F9" w:rsidRDefault="00561215" w:rsidP="00561215">
            <w:pPr>
              <w:keepNext/>
              <w:rPr>
                <w:color w:val="000000" w:themeColor="text1"/>
              </w:rPr>
            </w:pPr>
            <w:r w:rsidRPr="00561215">
              <w:rPr>
                <w:b/>
                <w:bCs/>
                <w:color w:val="000000" w:themeColor="text1"/>
              </w:rPr>
              <w:t>Public Disclosure (Article 5):</w:t>
            </w:r>
            <w:r w:rsidRPr="00561215">
              <w:rPr>
                <w:color w:val="000000" w:themeColor="text1"/>
              </w:rPr>
              <w:br/>
              <w:t>Companies are required to publish their certificate of incorporation, memorandum, articles of association and any amendments on the SCA’s online bulletin, ensuring public access to key corporate documents.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2DC3E40B" w:rsidR="00CF5268" w:rsidRDefault="00666196"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F104AC5" w:rsidR="00CF5268" w:rsidRDefault="00666196"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F113A10" w:rsidR="00CF5268" w:rsidRDefault="00666196"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2ED5121" w:rsidR="00CF5268" w:rsidRDefault="00666196"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54E263F" w:rsidR="00CF5268" w:rsidRDefault="00666196"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21E0EC3" w:rsidR="466E435B" w:rsidRDefault="00666196"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6291A72" w:rsidR="00CF5268" w:rsidRDefault="0066619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1E84575" w:rsidR="466E435B" w:rsidRDefault="00666196"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6BD5C45" w:rsidR="466E435B" w:rsidRDefault="00666196"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9897078" w:rsidR="466E435B" w:rsidRDefault="00666196"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8ACAEA5" w:rsidR="466E435B" w:rsidRDefault="00666196"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3B4BDF2" w:rsidR="00CF5268" w:rsidRDefault="00666196"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5410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518ACE3" w:rsidR="00524D54" w:rsidRPr="003577A4" w:rsidRDefault="0030491A" w:rsidP="00DD3144">
            <w:r>
              <w:t xml:space="preserve">This policy tool applies to local public joint stock companies that are incorporated and headquartered in the UAE and listed on UAE securities markets. </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EAD64DE" w:rsidR="00576ED8" w:rsidRDefault="0030491A"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7BD9AC42" w:rsidR="00911F20" w:rsidRDefault="0030491A"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68B2553D" w:rsidR="00911F20" w:rsidRDefault="0030491A"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1C7CE957" w:rsidR="00911F20" w:rsidRDefault="0030491A"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78497079" w14:textId="1B532E29" w:rsidR="0030491A" w:rsidRPr="0030491A" w:rsidRDefault="0030491A" w:rsidP="0030491A">
            <w:r w:rsidRPr="0030491A">
              <w:rPr>
                <w:b/>
                <w:bCs/>
              </w:rPr>
              <w:t>Monetary fine:</w:t>
            </w:r>
            <w:r w:rsidRPr="0030491A">
              <w:t xml:space="preserve"> The SCA is empowered to impose monetary fines on companies that breach governance requirements. The amount of the fine is determined by the severity and duration of the breach, and fines may increase for repeated or systemic non-compliance. These fines are intended to serve as a deterrent and to encourage prompt remediation of deficiencies.</w:t>
            </w:r>
          </w:p>
          <w:p w14:paraId="346CC952" w14:textId="64A6BE13" w:rsidR="0030491A" w:rsidRPr="0030491A" w:rsidRDefault="0030491A" w:rsidP="0030491A">
            <w:r w:rsidRPr="0030491A">
              <w:rPr>
                <w:b/>
                <w:bCs/>
              </w:rPr>
              <w:t>Restriction on business activities:</w:t>
            </w:r>
            <w:r w:rsidRPr="0030491A">
              <w:t xml:space="preserve"> The SCA may restrict or suspend certain business activities of non-compliant companies. This can include limiting the company’s ability to offer specific products or services, restricting expansion into new markets, or requiring additional approvals for certain transactions. These restrictions are designed to mitigate risks and ensure that deficiencies are addressed before normal business operations can resume.</w:t>
            </w:r>
          </w:p>
          <w:p w14:paraId="6475235A" w14:textId="2BBE364F" w:rsidR="009C4798" w:rsidRDefault="0030491A" w:rsidP="0030491A">
            <w:r w:rsidRPr="0030491A">
              <w:rPr>
                <w:b/>
                <w:bCs/>
              </w:rPr>
              <w:t>Penalty for senior managers:</w:t>
            </w:r>
            <w:r w:rsidRPr="0030491A">
              <w:t xml:space="preserve"> Senior managers and board members may be held personally accountable for failures in governance or risk management. The SCA may issue formal warnings, disqualify individuals from holding senior roles, remove them from office, or impose personal financial penalties. These actions reinforce the importance of effective oversight and personal responsibility at the leadership level.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BF02EF8" w:rsidR="00CB1649" w:rsidRPr="00FA0CF8" w:rsidRDefault="0030491A"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97D4FD" w:rsidR="008063B5" w:rsidRDefault="0030491A"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5934B891" w:rsidR="00042406" w:rsidRDefault="00FB5A9C"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699708F" w:rsidR="00042406" w:rsidRDefault="00FB5A9C"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7800EA4" w:rsidR="00042406" w:rsidRDefault="00FB5A9C"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6BE8A9C" w:rsidR="00042406" w:rsidRDefault="00FB5A9C"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6D86521" w:rsidR="00042406" w:rsidRDefault="00FB5A9C"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26AC7064" w:rsidR="00042406" w:rsidRDefault="00FB5A9C"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0607828" w:rsidR="00042406" w:rsidRDefault="00FB5A9C"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2BDD3DB" w:rsidR="00DA416F" w:rsidRPr="00DD3144" w:rsidRDefault="00FB5A9C"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77556BF" w:rsidR="00DA416F" w:rsidRPr="00DD3144" w:rsidRDefault="00FB5A9C"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B8D9D3A" w:rsidR="00DA416F" w:rsidRPr="00DD3144" w:rsidRDefault="00FB5A9C"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2D58A9E" w:rsidR="00DA416F" w:rsidRPr="00DD3144" w:rsidRDefault="00FB5A9C"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533B35B" w:rsidR="00DA416F" w:rsidRPr="00DD3144" w:rsidRDefault="00FB5A9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B746986" w:rsidR="00DA416F" w:rsidRPr="00DD3144" w:rsidRDefault="00FB5A9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C010DC0" w:rsidR="00DA416F" w:rsidRPr="00DD3144" w:rsidRDefault="00FB5A9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F7950F2" w:rsidR="00DA416F" w:rsidRPr="00DD3144" w:rsidRDefault="00FB5A9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C2337B8" w:rsidR="00DA416F" w:rsidRPr="00DD3144" w:rsidRDefault="00FB5A9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E1D6595" w:rsidR="00DA416F" w:rsidRPr="00DD3144" w:rsidRDefault="00FB5A9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8CEF9DE" w:rsidR="00DA416F" w:rsidRPr="00DD3144" w:rsidRDefault="00FB5A9C"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7549357" w:rsidR="00DA416F" w:rsidRPr="00DD3144" w:rsidRDefault="00FB5A9C"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2A53456" w:rsidR="00DA416F" w:rsidRPr="00DD3144" w:rsidRDefault="00FB5A9C"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5410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5410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5410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5410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5410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F3040A" w14:textId="77777777" w:rsidR="00FF5BE8" w:rsidRDefault="00FF5BE8" w:rsidP="00874E39">
      <w:r>
        <w:separator/>
      </w:r>
    </w:p>
  </w:endnote>
  <w:endnote w:type="continuationSeparator" w:id="0">
    <w:p w14:paraId="2FC700C0" w14:textId="77777777" w:rsidR="00FF5BE8" w:rsidRDefault="00FF5BE8" w:rsidP="00874E39">
      <w:r>
        <w:continuationSeparator/>
      </w:r>
    </w:p>
  </w:endnote>
  <w:endnote w:type="continuationNotice" w:id="1">
    <w:p w14:paraId="10F68540" w14:textId="77777777" w:rsidR="00FF5BE8" w:rsidRDefault="00FF5B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4324A1" w14:textId="77777777" w:rsidR="00FF5BE8" w:rsidRDefault="00FF5BE8" w:rsidP="00874E39">
      <w:r>
        <w:separator/>
      </w:r>
    </w:p>
  </w:footnote>
  <w:footnote w:type="continuationSeparator" w:id="0">
    <w:p w14:paraId="1E57D316" w14:textId="77777777" w:rsidR="00FF5BE8" w:rsidRDefault="00FF5BE8" w:rsidP="00874E39">
      <w:r>
        <w:continuationSeparator/>
      </w:r>
    </w:p>
  </w:footnote>
  <w:footnote w:type="continuationNotice" w:id="1">
    <w:p w14:paraId="6614004F" w14:textId="77777777" w:rsidR="00FF5BE8" w:rsidRDefault="00FF5BE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A0E"/>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906"/>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91A"/>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78F"/>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215"/>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196"/>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5876"/>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4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109"/>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B5A9C"/>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BE8"/>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21015">
      <w:bodyDiv w:val="1"/>
      <w:marLeft w:val="0"/>
      <w:marRight w:val="0"/>
      <w:marTop w:val="0"/>
      <w:marBottom w:val="0"/>
      <w:divBdr>
        <w:top w:val="none" w:sz="0" w:space="0" w:color="auto"/>
        <w:left w:val="none" w:sz="0" w:space="0" w:color="auto"/>
        <w:bottom w:val="none" w:sz="0" w:space="0" w:color="auto"/>
        <w:right w:val="none" w:sz="0" w:space="0" w:color="auto"/>
      </w:divBdr>
    </w:div>
    <w:div w:id="221796727">
      <w:bodyDiv w:val="1"/>
      <w:marLeft w:val="0"/>
      <w:marRight w:val="0"/>
      <w:marTop w:val="0"/>
      <w:marBottom w:val="0"/>
      <w:divBdr>
        <w:top w:val="none" w:sz="0" w:space="0" w:color="auto"/>
        <w:left w:val="none" w:sz="0" w:space="0" w:color="auto"/>
        <w:bottom w:val="none" w:sz="0" w:space="0" w:color="auto"/>
        <w:right w:val="none" w:sz="0" w:space="0" w:color="auto"/>
      </w:divBdr>
    </w:div>
    <w:div w:id="23351012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2313596">
      <w:bodyDiv w:val="1"/>
      <w:marLeft w:val="0"/>
      <w:marRight w:val="0"/>
      <w:marTop w:val="0"/>
      <w:marBottom w:val="0"/>
      <w:divBdr>
        <w:top w:val="none" w:sz="0" w:space="0" w:color="auto"/>
        <w:left w:val="none" w:sz="0" w:space="0" w:color="auto"/>
        <w:bottom w:val="none" w:sz="0" w:space="0" w:color="auto"/>
        <w:right w:val="none" w:sz="0" w:space="0" w:color="auto"/>
      </w:divBdr>
    </w:div>
    <w:div w:id="77262738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572815">
      <w:bodyDiv w:val="1"/>
      <w:marLeft w:val="0"/>
      <w:marRight w:val="0"/>
      <w:marTop w:val="0"/>
      <w:marBottom w:val="0"/>
      <w:divBdr>
        <w:top w:val="none" w:sz="0" w:space="0" w:color="auto"/>
        <w:left w:val="none" w:sz="0" w:space="0" w:color="auto"/>
        <w:bottom w:val="none" w:sz="0" w:space="0" w:color="auto"/>
        <w:right w:val="none" w:sz="0" w:space="0" w:color="auto"/>
      </w:divBdr>
    </w:div>
    <w:div w:id="1177188801">
      <w:bodyDiv w:val="1"/>
      <w:marLeft w:val="0"/>
      <w:marRight w:val="0"/>
      <w:marTop w:val="0"/>
      <w:marBottom w:val="0"/>
      <w:divBdr>
        <w:top w:val="none" w:sz="0" w:space="0" w:color="auto"/>
        <w:left w:val="none" w:sz="0" w:space="0" w:color="auto"/>
        <w:bottom w:val="none" w:sz="0" w:space="0" w:color="auto"/>
        <w:right w:val="none" w:sz="0" w:space="0" w:color="auto"/>
      </w:divBdr>
    </w:div>
    <w:div w:id="118424366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169862">
      <w:bodyDiv w:val="1"/>
      <w:marLeft w:val="0"/>
      <w:marRight w:val="0"/>
      <w:marTop w:val="0"/>
      <w:marBottom w:val="0"/>
      <w:divBdr>
        <w:top w:val="none" w:sz="0" w:space="0" w:color="auto"/>
        <w:left w:val="none" w:sz="0" w:space="0" w:color="auto"/>
        <w:bottom w:val="none" w:sz="0" w:space="0" w:color="auto"/>
        <w:right w:val="none" w:sz="0" w:space="0" w:color="auto"/>
      </w:divBdr>
    </w:div>
    <w:div w:id="176896095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6295239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273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Chairman%20of%20Authority&#8217;s%20Board%20of%20Directors&#8217;%20Decision%20no.%20(3_Chairman)%20of%202020%20concerning%20Approval%20of%20Joint%20Stock%20Companies%20Governance%20Guide%20(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111</Pages>
  <Words>23224</Words>
  <Characters>125875</Characters>
  <Application>Microsoft Office Word</Application>
  <DocSecurity>0</DocSecurity>
  <Lines>3070</Lines>
  <Paragraphs>1212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3</cp:revision>
  <cp:lastPrinted>2025-03-21T00:14:00Z</cp:lastPrinted>
  <dcterms:created xsi:type="dcterms:W3CDTF">2025-07-28T07:07:00Z</dcterms:created>
  <dcterms:modified xsi:type="dcterms:W3CDTF">2025-07-28T12:38:00Z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